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883" w:rsidRPr="00114883" w:rsidRDefault="00114883" w:rsidP="00114883">
      <w:pPr>
        <w:spacing w:after="0" w:line="240" w:lineRule="auto"/>
        <w:rPr>
          <w:rFonts w:ascii="Times New Roman" w:eastAsia="Times New Roman" w:hAnsi="Times New Roman" w:cs="Times New Roman"/>
          <w:sz w:val="24"/>
          <w:szCs w:val="24"/>
          <w:lang w:eastAsia="fr-CA"/>
        </w:rPr>
      </w:pPr>
      <w:r w:rsidRPr="00114883">
        <w:rPr>
          <w:rFonts w:ascii="&amp;quot" w:eastAsia="Times New Roman" w:hAnsi="&amp;quot" w:cs="Times New Roman"/>
          <w:b/>
          <w:bCs/>
          <w:color w:val="555555"/>
          <w:sz w:val="24"/>
          <w:szCs w:val="24"/>
          <w:lang w:eastAsia="fr-CA"/>
        </w:rPr>
        <w:t>Conférencier :</w:t>
      </w:r>
      <w:r w:rsidRPr="00114883">
        <w:rPr>
          <w:rFonts w:ascii="Source Sans Pro" w:eastAsia="Times New Roman" w:hAnsi="Source Sans Pro" w:cs="Times New Roman"/>
          <w:color w:val="555555"/>
          <w:sz w:val="24"/>
          <w:szCs w:val="24"/>
          <w:lang w:eastAsia="fr-CA"/>
        </w:rPr>
        <w:t xml:space="preserve"> Dre Marie-Ève Boucher, dentiste-conseil à l’ACDQ </w:t>
      </w:r>
      <w:r w:rsidRPr="00114883">
        <w:rPr>
          <w:rFonts w:ascii="&amp;quot" w:eastAsia="Times New Roman" w:hAnsi="&amp;quot" w:cs="Times New Roman"/>
          <w:color w:val="555555"/>
          <w:sz w:val="24"/>
          <w:szCs w:val="24"/>
          <w:lang w:eastAsia="fr-CA"/>
        </w:rPr>
        <w:br/>
      </w:r>
      <w:r w:rsidRPr="00114883">
        <w:rPr>
          <w:rFonts w:ascii="&amp;quot" w:eastAsia="Times New Roman" w:hAnsi="&amp;quot" w:cs="Times New Roman"/>
          <w:color w:val="555555"/>
          <w:sz w:val="24"/>
          <w:szCs w:val="24"/>
          <w:lang w:eastAsia="fr-CA"/>
        </w:rPr>
        <w:br/>
      </w:r>
      <w:r w:rsidRPr="00114883">
        <w:rPr>
          <w:rFonts w:ascii="&amp;quot" w:eastAsia="Times New Roman" w:hAnsi="&amp;quot" w:cs="Times New Roman"/>
          <w:b/>
          <w:bCs/>
          <w:color w:val="555555"/>
          <w:sz w:val="24"/>
          <w:szCs w:val="24"/>
          <w:lang w:eastAsia="fr-CA"/>
        </w:rPr>
        <w:t>Titre de la conférence :</w:t>
      </w:r>
      <w:r w:rsidRPr="00114883">
        <w:rPr>
          <w:rFonts w:ascii="Source Sans Pro" w:eastAsia="Times New Roman" w:hAnsi="Source Sans Pro" w:cs="Times New Roman"/>
          <w:color w:val="555555"/>
          <w:sz w:val="24"/>
          <w:szCs w:val="24"/>
          <w:lang w:eastAsia="fr-CA"/>
        </w:rPr>
        <w:t xml:space="preserve"> Le guide des tarifs: pour une meilleure communication avec vos patients </w:t>
      </w:r>
      <w:r w:rsidRPr="00114883">
        <w:rPr>
          <w:rFonts w:ascii="&amp;quot" w:eastAsia="Times New Roman" w:hAnsi="&amp;quot" w:cs="Times New Roman"/>
          <w:color w:val="555555"/>
          <w:sz w:val="24"/>
          <w:szCs w:val="24"/>
          <w:lang w:eastAsia="fr-CA"/>
        </w:rPr>
        <w:br/>
      </w:r>
      <w:r w:rsidRPr="00114883">
        <w:rPr>
          <w:rFonts w:ascii="&amp;quot" w:eastAsia="Times New Roman" w:hAnsi="&amp;quot" w:cs="Times New Roman"/>
          <w:color w:val="555555"/>
          <w:sz w:val="24"/>
          <w:szCs w:val="24"/>
          <w:lang w:eastAsia="fr-CA"/>
        </w:rPr>
        <w:br/>
      </w:r>
      <w:r w:rsidRPr="00114883">
        <w:rPr>
          <w:rFonts w:ascii="&amp;quot" w:eastAsia="Times New Roman" w:hAnsi="&amp;quot" w:cs="Times New Roman"/>
          <w:b/>
          <w:bCs/>
          <w:color w:val="555555"/>
          <w:sz w:val="24"/>
          <w:szCs w:val="24"/>
          <w:lang w:eastAsia="fr-CA"/>
        </w:rPr>
        <w:t>Résumé de la conférence :</w:t>
      </w:r>
      <w:r w:rsidRPr="00114883">
        <w:rPr>
          <w:rFonts w:ascii="Source Sans Pro" w:eastAsia="Times New Roman" w:hAnsi="Source Sans Pro" w:cs="Times New Roman"/>
          <w:color w:val="555555"/>
          <w:sz w:val="24"/>
          <w:szCs w:val="24"/>
          <w:lang w:eastAsia="fr-CA"/>
        </w:rPr>
        <w:t xml:space="preserve"> La présentation porte sur la façon dont le guide des tarifs est élaboré par le comité des tarifs et de la nomenclature de l’ACDQ, sur la philosophie qui le sous-tend, ainsi que sur la politique de l’Association en matière de régimes d’assurance de soins dentaires. La présentation apporte un éclairage complet sur le bon usage du guide en couvrant chacun des chapitres pour préciser ses particularités et les notes explicatives. Elle traite des questions le plus souvent posées et comprend une période de questions. On y aborde aussi les relations avec les tiers payeurs, soit les assureurs privés et les différents régimes publics de soins dentaires.</w:t>
      </w:r>
      <w:r w:rsidRPr="00114883">
        <w:rPr>
          <w:rFonts w:ascii="&amp;quot" w:eastAsia="Times New Roman" w:hAnsi="&amp;quot" w:cs="Times New Roman"/>
          <w:color w:val="555555"/>
          <w:sz w:val="24"/>
          <w:szCs w:val="24"/>
          <w:lang w:eastAsia="fr-CA"/>
        </w:rPr>
        <w:br/>
      </w:r>
      <w:r w:rsidRPr="00114883">
        <w:rPr>
          <w:rFonts w:ascii="Source Sans Pro" w:eastAsia="Times New Roman" w:hAnsi="Source Sans Pro" w:cs="Times New Roman"/>
          <w:color w:val="555555"/>
          <w:sz w:val="24"/>
          <w:szCs w:val="24"/>
          <w:lang w:eastAsia="fr-CA"/>
        </w:rPr>
        <w:t>Objectifs plus particuliers:</w:t>
      </w:r>
    </w:p>
    <w:p w:rsidR="00114883" w:rsidRPr="00114883" w:rsidRDefault="00114883" w:rsidP="00114883">
      <w:pPr>
        <w:numPr>
          <w:ilvl w:val="0"/>
          <w:numId w:val="1"/>
        </w:numPr>
        <w:spacing w:before="100" w:beforeAutospacing="1" w:after="100" w:afterAutospacing="1" w:line="330" w:lineRule="atLeast"/>
        <w:ind w:left="0"/>
        <w:rPr>
          <w:rFonts w:ascii="&amp;quot" w:eastAsia="Times New Roman" w:hAnsi="&amp;quot" w:cs="Times New Roman"/>
          <w:color w:val="555555"/>
          <w:sz w:val="24"/>
          <w:szCs w:val="24"/>
          <w:lang w:eastAsia="fr-CA"/>
        </w:rPr>
      </w:pPr>
      <w:r w:rsidRPr="00114883">
        <w:rPr>
          <w:rFonts w:ascii="&amp;quot" w:eastAsia="Times New Roman" w:hAnsi="&amp;quot" w:cs="Times New Roman"/>
          <w:color w:val="555555"/>
          <w:sz w:val="24"/>
          <w:szCs w:val="24"/>
          <w:lang w:eastAsia="fr-CA"/>
        </w:rPr>
        <w:t>Améliorer la communication avec vos patients au moment de la facturation de vos honoraires.</w:t>
      </w:r>
    </w:p>
    <w:p w:rsidR="00114883" w:rsidRPr="00114883" w:rsidRDefault="00114883" w:rsidP="00114883">
      <w:pPr>
        <w:numPr>
          <w:ilvl w:val="0"/>
          <w:numId w:val="1"/>
        </w:numPr>
        <w:spacing w:before="100" w:beforeAutospacing="1" w:after="100" w:afterAutospacing="1" w:line="330" w:lineRule="atLeast"/>
        <w:ind w:left="0"/>
        <w:rPr>
          <w:rFonts w:ascii="&amp;quot" w:eastAsia="Times New Roman" w:hAnsi="&amp;quot" w:cs="Times New Roman"/>
          <w:color w:val="555555"/>
          <w:sz w:val="24"/>
          <w:szCs w:val="24"/>
          <w:lang w:eastAsia="fr-CA"/>
        </w:rPr>
      </w:pPr>
      <w:r w:rsidRPr="00114883">
        <w:rPr>
          <w:rFonts w:ascii="&amp;quot" w:eastAsia="Times New Roman" w:hAnsi="&amp;quot" w:cs="Times New Roman"/>
          <w:color w:val="555555"/>
          <w:sz w:val="24"/>
          <w:szCs w:val="24"/>
          <w:lang w:eastAsia="fr-CA"/>
        </w:rPr>
        <w:t>Mieux comprendre les règles qui régissent l’administration des régimes privés d’assurance de vos patients, de manière à éviter les pièges.</w:t>
      </w:r>
    </w:p>
    <w:p w:rsidR="00114883" w:rsidRPr="00114883" w:rsidRDefault="00114883" w:rsidP="00114883">
      <w:pPr>
        <w:numPr>
          <w:ilvl w:val="0"/>
          <w:numId w:val="1"/>
        </w:numPr>
        <w:spacing w:before="100" w:beforeAutospacing="1" w:after="100" w:afterAutospacing="1" w:line="330" w:lineRule="atLeast"/>
        <w:ind w:left="0"/>
        <w:rPr>
          <w:rFonts w:ascii="&amp;quot" w:eastAsia="Times New Roman" w:hAnsi="&amp;quot" w:cs="Times New Roman"/>
          <w:color w:val="555555"/>
          <w:sz w:val="24"/>
          <w:szCs w:val="24"/>
          <w:lang w:eastAsia="fr-CA"/>
        </w:rPr>
      </w:pPr>
      <w:r w:rsidRPr="00114883">
        <w:rPr>
          <w:rFonts w:ascii="&amp;quot" w:eastAsia="Times New Roman" w:hAnsi="&amp;quot" w:cs="Times New Roman"/>
          <w:color w:val="555555"/>
          <w:sz w:val="24"/>
          <w:szCs w:val="24"/>
          <w:lang w:eastAsia="fr-CA"/>
        </w:rPr>
        <w:t>Faciliter l’utilisation du guide en fonction de votre pratique et en faire un emploi judicieux.</w:t>
      </w:r>
    </w:p>
    <w:p w:rsidR="00114883" w:rsidRPr="00114883" w:rsidRDefault="00114883" w:rsidP="00114883">
      <w:pPr>
        <w:numPr>
          <w:ilvl w:val="0"/>
          <w:numId w:val="1"/>
        </w:numPr>
        <w:spacing w:before="100" w:beforeAutospacing="1" w:after="100" w:afterAutospacing="1" w:line="330" w:lineRule="atLeast"/>
        <w:ind w:left="0"/>
        <w:rPr>
          <w:rFonts w:ascii="&amp;quot" w:eastAsia="Times New Roman" w:hAnsi="&amp;quot" w:cs="Times New Roman"/>
          <w:color w:val="555555"/>
          <w:sz w:val="24"/>
          <w:szCs w:val="24"/>
          <w:lang w:eastAsia="fr-CA"/>
        </w:rPr>
      </w:pPr>
      <w:r w:rsidRPr="00114883">
        <w:rPr>
          <w:rFonts w:ascii="&amp;quot" w:eastAsia="Times New Roman" w:hAnsi="&amp;quot" w:cs="Times New Roman"/>
          <w:color w:val="555555"/>
          <w:sz w:val="24"/>
          <w:szCs w:val="24"/>
          <w:lang w:eastAsia="fr-CA"/>
        </w:rPr>
        <w:t>Revoir la politique de l’ACDQ en matière d’assurance de soins dentaires.</w:t>
      </w:r>
    </w:p>
    <w:p w:rsidR="00F60FC0" w:rsidRDefault="00114883" w:rsidP="00114883">
      <w:r w:rsidRPr="00114883">
        <w:rPr>
          <w:rFonts w:ascii="Source Sans Pro" w:eastAsia="Times New Roman" w:hAnsi="Source Sans Pro" w:cs="Times New Roman"/>
          <w:color w:val="555555"/>
          <w:sz w:val="24"/>
          <w:szCs w:val="24"/>
          <w:lang w:eastAsia="fr-CA"/>
        </w:rPr>
        <w:t>INVITATION AUX DENTISTES ET MEMBRES DE L’ÉQUIPE DENTAIRE</w:t>
      </w:r>
      <w:bookmarkStart w:id="0" w:name="_GoBack"/>
      <w:bookmarkEnd w:id="0"/>
    </w:p>
    <w:sectPr w:rsidR="00F60FC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Source Sans Pro">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3405"/>
    <w:multiLevelType w:val="multilevel"/>
    <w:tmpl w:val="E45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83"/>
    <w:rsid w:val="00114883"/>
    <w:rsid w:val="001313AE"/>
    <w:rsid w:val="00FC66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05782-BC45-41AB-9672-49060F98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20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Société Dentaire de Québec</dc:creator>
  <cp:keywords/>
  <dc:description/>
  <cp:lastModifiedBy>Société Dentaire de Québec</cp:lastModifiedBy>
  <cp:revision>1</cp:revision>
  <dcterms:created xsi:type="dcterms:W3CDTF">2018-08-23T14:50:00Z</dcterms:created>
  <dcterms:modified xsi:type="dcterms:W3CDTF">2018-08-23T14:50:00Z</dcterms:modified>
</cp:coreProperties>
</file>